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B5" w:rsidRDefault="00D25A8B" w:rsidP="00D25A8B">
      <w:pPr>
        <w:ind w:left="-993"/>
        <w:rPr>
          <w:rFonts w:ascii="Palatino Linotype" w:hAnsi="Palatino Linotype"/>
          <w:b w:val="0"/>
          <w:bCs/>
          <w:sz w:val="22"/>
        </w:rPr>
      </w:pPr>
      <w:r>
        <w:rPr>
          <w:noProof/>
          <w:snapToGrid/>
        </w:rPr>
        <w:drawing>
          <wp:inline distT="0" distB="0" distL="0" distR="0">
            <wp:extent cx="3743325" cy="915575"/>
            <wp:effectExtent l="19050" t="0" r="9525" b="0"/>
            <wp:docPr id="1" name="b97e00c3-e940-4893-86ba-56c85297646a" descr="cid:BA6CDB06-9A67-4367-98D9-49A1E863A11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7e00c3-e940-4893-86ba-56c85297646a" descr="cid:BA6CDB06-9A67-4367-98D9-49A1E863A111@home"/>
                    <pic:cNvPicPr>
                      <a:picLocks noChangeAspect="1" noChangeArrowheads="1"/>
                    </pic:cNvPicPr>
                  </pic:nvPicPr>
                  <pic:blipFill>
                    <a:blip r:embed="rId7" r:link="rId8" cstate="print"/>
                    <a:srcRect/>
                    <a:stretch>
                      <a:fillRect/>
                    </a:stretch>
                  </pic:blipFill>
                  <pic:spPr bwMode="auto">
                    <a:xfrm>
                      <a:off x="0" y="0"/>
                      <a:ext cx="3743325" cy="915575"/>
                    </a:xfrm>
                    <a:prstGeom prst="rect">
                      <a:avLst/>
                    </a:prstGeom>
                    <a:noFill/>
                    <a:ln w="9525">
                      <a:noFill/>
                      <a:miter lim="800000"/>
                      <a:headEnd/>
                      <a:tailEnd/>
                    </a:ln>
                  </pic:spPr>
                </pic:pic>
              </a:graphicData>
            </a:graphic>
          </wp:inline>
        </w:drawing>
      </w:r>
    </w:p>
    <w:p w:rsidR="00EF58B5" w:rsidRDefault="00EF58B5">
      <w:pPr>
        <w:tabs>
          <w:tab w:val="left" w:pos="4820"/>
        </w:tabs>
        <w:ind w:left="1134"/>
        <w:rPr>
          <w:rFonts w:ascii="Palatino Linotype" w:hAnsi="Palatino Linotype"/>
          <w:b w:val="0"/>
          <w:bCs/>
          <w:sz w:val="22"/>
        </w:rPr>
      </w:pPr>
    </w:p>
    <w:p w:rsidR="00167246" w:rsidRPr="00F07F93" w:rsidRDefault="00167246" w:rsidP="001A7564">
      <w:pPr>
        <w:ind w:left="709"/>
        <w:jc w:val="both"/>
        <w:rPr>
          <w:rFonts w:ascii="Arial" w:hAnsi="Arial" w:cs="Arial"/>
          <w:b w:val="0"/>
          <w:bCs/>
          <w:sz w:val="22"/>
        </w:rPr>
      </w:pPr>
    </w:p>
    <w:p w:rsidR="00167246" w:rsidRPr="00F07F93" w:rsidRDefault="00167246" w:rsidP="001A7564">
      <w:pPr>
        <w:ind w:left="709"/>
        <w:jc w:val="both"/>
        <w:rPr>
          <w:rFonts w:ascii="Arial" w:hAnsi="Arial" w:cs="Arial"/>
          <w:b w:val="0"/>
          <w:bCs/>
          <w:sz w:val="22"/>
        </w:rPr>
      </w:pPr>
    </w:p>
    <w:p w:rsidR="00167246" w:rsidRPr="00F07F93" w:rsidRDefault="00167246" w:rsidP="001A7564">
      <w:pPr>
        <w:ind w:left="709"/>
        <w:jc w:val="both"/>
        <w:rPr>
          <w:rFonts w:ascii="Arial" w:hAnsi="Arial" w:cs="Arial"/>
          <w:b w:val="0"/>
          <w:bCs/>
          <w:sz w:val="22"/>
        </w:rPr>
      </w:pPr>
    </w:p>
    <w:p w:rsidR="00F07F93" w:rsidRPr="00F07F93" w:rsidRDefault="00F07F93" w:rsidP="00F07F93">
      <w:pPr>
        <w:rPr>
          <w:rFonts w:asciiTheme="minorHAnsi" w:hAnsiTheme="minorHAnsi" w:cstheme="minorHAnsi"/>
          <w:b w:val="0"/>
          <w:bCs/>
          <w:sz w:val="26"/>
          <w:szCs w:val="26"/>
        </w:rPr>
      </w:pPr>
      <w:r w:rsidRPr="00F07F93">
        <w:rPr>
          <w:rFonts w:asciiTheme="minorHAnsi" w:hAnsiTheme="minorHAnsi" w:cstheme="minorHAnsi"/>
          <w:b w:val="0"/>
          <w:bCs/>
          <w:sz w:val="26"/>
          <w:szCs w:val="26"/>
        </w:rPr>
        <w:t xml:space="preserve">Les Ateliers de GIENS organisent le 26 mars </w:t>
      </w:r>
      <w:r>
        <w:rPr>
          <w:rFonts w:asciiTheme="minorHAnsi" w:hAnsiTheme="minorHAnsi" w:cstheme="minorHAnsi"/>
          <w:b w:val="0"/>
          <w:bCs/>
          <w:sz w:val="26"/>
          <w:szCs w:val="26"/>
        </w:rPr>
        <w:t xml:space="preserve">2014 </w:t>
      </w:r>
      <w:r w:rsidRPr="00F07F93">
        <w:rPr>
          <w:rFonts w:asciiTheme="minorHAnsi" w:hAnsiTheme="minorHAnsi" w:cstheme="minorHAnsi"/>
          <w:b w:val="0"/>
          <w:bCs/>
          <w:sz w:val="26"/>
          <w:szCs w:val="26"/>
        </w:rPr>
        <w:t>à l’Hôpital Cochin leur première demi-journée de restitution, qui doit rapporter les travaux des 29</w:t>
      </w:r>
      <w:r w:rsidRPr="00F07F93">
        <w:rPr>
          <w:rFonts w:asciiTheme="minorHAnsi" w:hAnsiTheme="minorHAnsi" w:cstheme="minorHAnsi"/>
          <w:b w:val="0"/>
          <w:bCs/>
          <w:sz w:val="26"/>
          <w:szCs w:val="26"/>
          <w:vertAlign w:val="superscript"/>
        </w:rPr>
        <w:t>ème</w:t>
      </w:r>
      <w:r w:rsidRPr="00F07F93">
        <w:rPr>
          <w:rFonts w:asciiTheme="minorHAnsi" w:hAnsiTheme="minorHAnsi" w:cstheme="minorHAnsi"/>
          <w:b w:val="0"/>
          <w:bCs/>
          <w:sz w:val="26"/>
          <w:szCs w:val="26"/>
        </w:rPr>
        <w:t xml:space="preserve"> Rencontres Nationales de Pharmacologie et Recherche clinique, Innovation Thérapeutique et Evaluation des Technologies de Santé. </w:t>
      </w:r>
    </w:p>
    <w:p w:rsidR="00F07F93" w:rsidRDefault="00F07F93" w:rsidP="00F07F93">
      <w:pPr>
        <w:rPr>
          <w:rFonts w:asciiTheme="minorHAnsi" w:hAnsiTheme="minorHAnsi" w:cstheme="minorHAnsi"/>
          <w:b w:val="0"/>
          <w:bCs/>
          <w:sz w:val="26"/>
          <w:szCs w:val="26"/>
        </w:rPr>
      </w:pPr>
      <w:r w:rsidRPr="00F07F93">
        <w:rPr>
          <w:rFonts w:asciiTheme="minorHAnsi" w:hAnsiTheme="minorHAnsi" w:cstheme="minorHAnsi"/>
          <w:b w:val="0"/>
          <w:bCs/>
          <w:sz w:val="26"/>
          <w:szCs w:val="26"/>
        </w:rPr>
        <w:t>Cette manifestation est l’occasion de faire connaitre à un public élargi les réflexions et recommandations produites par les 6 tables rondes qui s’étaient réunies, du 6 au 8 octobre dernier, autour des thèmes suivants : le développement de la recherche translationnelle dans les maladies inflammatoires et immunitaires ; l’innovation dans les technologies de santé, liées à la télémédecine; l’implication des personnels paramédicaux dans la recherche clinique; les études post-inscription concernant les dispositifs médicaux ; les nouveaux modèles et les nouvelles perspectives dans le domaine de l’évaluation médico-économique; la communication autour du risque médicamenteux en situation de crise. Ces présentations faites par les modérateurs des tables rondes s’attacheront à restituer l’état des lieux, l’esprit des échanges, les points consensuels mais aussi ceux qui ont fait débat, de manière à dégager des recommandations et à évoquer le devenir possible de ces réflexions. Une conférence du Pr Philippe Lechat tracera un bilan de 20 ans de procédures centralisées sur l’innovation médicamenteuse.</w:t>
      </w:r>
    </w:p>
    <w:p w:rsidR="00F07F93" w:rsidRPr="00F07F93" w:rsidRDefault="00F07F93" w:rsidP="00F07F93">
      <w:pPr>
        <w:rPr>
          <w:rFonts w:asciiTheme="minorHAnsi" w:hAnsiTheme="minorHAnsi" w:cstheme="minorHAnsi"/>
          <w:b w:val="0"/>
          <w:bCs/>
          <w:sz w:val="26"/>
          <w:szCs w:val="26"/>
        </w:rPr>
      </w:pPr>
    </w:p>
    <w:p w:rsidR="00F07F93" w:rsidRDefault="00F07F93" w:rsidP="00F07F93">
      <w:pPr>
        <w:rPr>
          <w:rFonts w:asciiTheme="minorHAnsi" w:hAnsiTheme="minorHAnsi" w:cstheme="minorHAnsi"/>
          <w:b w:val="0"/>
          <w:bCs/>
          <w:sz w:val="26"/>
          <w:szCs w:val="26"/>
        </w:rPr>
      </w:pPr>
      <w:r w:rsidRPr="00F07F93">
        <w:rPr>
          <w:rFonts w:asciiTheme="minorHAnsi" w:hAnsiTheme="minorHAnsi" w:cstheme="minorHAnsi"/>
          <w:b w:val="0"/>
          <w:bCs/>
          <w:sz w:val="26"/>
          <w:szCs w:val="26"/>
        </w:rPr>
        <w:t xml:space="preserve">Cette demi-journée est l’occasion de rappeler que sept acteurs majeurs dans le domaine de la santé sont partenaires des Ateliers de Giens: la Société française de pharmacologie et de thérapeutique, l’Inserm (Inserm Transfert), l’Alliance pour la Recherche et l’Innovation des Industries de Santé (ARIIS), le Ministère du redressement productif (DGCIS),  l’AP-HP, le Ministère de la santé (DGS) et F-CRIN. </w:t>
      </w:r>
    </w:p>
    <w:p w:rsidR="00F07F93" w:rsidRPr="00F07F93" w:rsidRDefault="00F07F93" w:rsidP="00F07F93">
      <w:pPr>
        <w:rPr>
          <w:rFonts w:asciiTheme="minorHAnsi" w:hAnsiTheme="minorHAnsi" w:cstheme="minorHAnsi"/>
          <w:b w:val="0"/>
          <w:bCs/>
          <w:sz w:val="26"/>
          <w:szCs w:val="26"/>
        </w:rPr>
      </w:pPr>
    </w:p>
    <w:p w:rsidR="00F07F93" w:rsidRDefault="00F07F93" w:rsidP="00F07F93">
      <w:pPr>
        <w:rPr>
          <w:rFonts w:asciiTheme="minorHAnsi" w:hAnsiTheme="minorHAnsi" w:cstheme="minorHAnsi"/>
          <w:b w:val="0"/>
          <w:bCs/>
          <w:sz w:val="26"/>
          <w:szCs w:val="26"/>
        </w:rPr>
      </w:pPr>
      <w:r w:rsidRPr="00F07F93">
        <w:rPr>
          <w:rFonts w:asciiTheme="minorHAnsi" w:hAnsiTheme="minorHAnsi" w:cstheme="minorHAnsi"/>
          <w:b w:val="0"/>
          <w:bCs/>
          <w:sz w:val="26"/>
          <w:szCs w:val="26"/>
        </w:rPr>
        <w:t xml:space="preserve">Depuis 1983, les Ateliers de GIENS, placés actuellement sous le haut patronage d’AVIESAN et d’ARIIS, ont organisé près de 200 tables rondes auxquelles plus de 6000 experts venant de tous les horizons du secteur de la santé ont apporté leur contribution. </w:t>
      </w:r>
    </w:p>
    <w:p w:rsidR="009F04B3" w:rsidRDefault="00F07F93" w:rsidP="00F07F93">
      <w:pPr>
        <w:rPr>
          <w:rFonts w:asciiTheme="minorHAnsi" w:hAnsiTheme="minorHAnsi" w:cstheme="minorHAnsi"/>
          <w:b w:val="0"/>
          <w:bCs/>
          <w:sz w:val="26"/>
          <w:szCs w:val="26"/>
        </w:rPr>
      </w:pPr>
      <w:r w:rsidRPr="00F07F93">
        <w:rPr>
          <w:rFonts w:asciiTheme="minorHAnsi" w:hAnsiTheme="minorHAnsi" w:cstheme="minorHAnsi"/>
          <w:b w:val="0"/>
          <w:bCs/>
          <w:sz w:val="26"/>
          <w:szCs w:val="26"/>
        </w:rPr>
        <w:t>Ces Ateliers sont un véritable think tank (laboratoire d’idées) ; ils s’inscrivent dans un format qui n’a pas d’équivalent en France et selon des modalités de fonctionnement transparentes reprises dans une charte disponible sur le site de l’Association</w:t>
      </w:r>
      <w:r w:rsidRPr="00F07F93">
        <w:rPr>
          <w:rFonts w:asciiTheme="minorHAnsi" w:hAnsiTheme="minorHAnsi" w:cstheme="minorHAnsi"/>
          <w:b w:val="0"/>
          <w:bCs/>
          <w:color w:val="000000"/>
          <w:sz w:val="26"/>
          <w:szCs w:val="26"/>
        </w:rPr>
        <w:t xml:space="preserve"> </w:t>
      </w:r>
      <w:hyperlink r:id="rId9" w:history="1">
        <w:r w:rsidRPr="00F07F93">
          <w:rPr>
            <w:rStyle w:val="Lienhypertexte"/>
            <w:rFonts w:asciiTheme="minorHAnsi" w:hAnsiTheme="minorHAnsi" w:cstheme="minorHAnsi"/>
            <w:b w:val="0"/>
            <w:bCs/>
            <w:color w:val="000000"/>
            <w:sz w:val="26"/>
            <w:szCs w:val="26"/>
          </w:rPr>
          <w:t>http://www.ateliersdegiens.org/</w:t>
        </w:r>
      </w:hyperlink>
      <w:r w:rsidRPr="00F07F93">
        <w:rPr>
          <w:rFonts w:asciiTheme="minorHAnsi" w:hAnsiTheme="minorHAnsi" w:cstheme="minorHAnsi"/>
          <w:b w:val="0"/>
          <w:bCs/>
          <w:sz w:val="26"/>
          <w:szCs w:val="26"/>
        </w:rPr>
        <w:t>. Ils visent à faire avancer la réflexion sur des problèmes d’actualité en croisant le regard de spécialistes académiques, institutionnels et industriels qui échangent leurs expériences et leurs points de vue</w:t>
      </w:r>
    </w:p>
    <w:p w:rsidR="00F07F93" w:rsidRPr="00F07F93" w:rsidRDefault="00F07F93" w:rsidP="00F07F93">
      <w:pPr>
        <w:rPr>
          <w:rFonts w:asciiTheme="minorHAnsi" w:hAnsiTheme="minorHAnsi" w:cstheme="minorHAnsi"/>
          <w:b w:val="0"/>
          <w:bCs/>
          <w:color w:val="000000"/>
          <w:sz w:val="26"/>
          <w:szCs w:val="26"/>
        </w:rPr>
      </w:pPr>
      <w:r w:rsidRPr="00F07F93">
        <w:rPr>
          <w:rFonts w:asciiTheme="minorHAnsi" w:hAnsiTheme="minorHAnsi" w:cstheme="minorHAnsi"/>
          <w:b w:val="0"/>
          <w:bCs/>
          <w:sz w:val="26"/>
          <w:szCs w:val="26"/>
        </w:rPr>
        <w:t>su</w:t>
      </w:r>
      <w:bookmarkStart w:id="0" w:name="_GoBack"/>
      <w:bookmarkEnd w:id="0"/>
      <w:r w:rsidRPr="00F07F93">
        <w:rPr>
          <w:rFonts w:asciiTheme="minorHAnsi" w:hAnsiTheme="minorHAnsi" w:cstheme="minorHAnsi"/>
          <w:b w:val="0"/>
          <w:bCs/>
          <w:sz w:val="26"/>
          <w:szCs w:val="26"/>
        </w:rPr>
        <w:t xml:space="preserve">r le médicament, la recherche clinique et translationnelle, les technologies de santé… abordés sous l’angle scientifique, médico-économique, organisationnel et réglementaire. Les </w:t>
      </w:r>
      <w:r w:rsidRPr="00F07F93">
        <w:rPr>
          <w:rFonts w:asciiTheme="minorHAnsi" w:hAnsiTheme="minorHAnsi" w:cstheme="minorHAnsi"/>
          <w:b w:val="0"/>
          <w:bCs/>
          <w:color w:val="000000"/>
          <w:sz w:val="26"/>
          <w:szCs w:val="26"/>
        </w:rPr>
        <w:t xml:space="preserve">travaux sont publiés chaque année en langue française et anglaise dans la revue Thérapie sous forme d’articles régulièrement repris par la communauté scientifique et par différentes institutions publiques ou privées. </w:t>
      </w:r>
    </w:p>
    <w:p w:rsidR="00F07F93" w:rsidRPr="00F07F93" w:rsidRDefault="00F07F93" w:rsidP="00F07F93">
      <w:pPr>
        <w:rPr>
          <w:rFonts w:asciiTheme="minorHAnsi" w:hAnsiTheme="minorHAnsi" w:cstheme="minorHAnsi"/>
          <w:b w:val="0"/>
          <w:bCs/>
          <w:sz w:val="26"/>
          <w:szCs w:val="26"/>
        </w:rPr>
      </w:pPr>
      <w:r w:rsidRPr="00F07F93">
        <w:rPr>
          <w:rFonts w:asciiTheme="minorHAnsi" w:hAnsiTheme="minorHAnsi" w:cstheme="minorHAnsi"/>
          <w:b w:val="0"/>
          <w:bCs/>
          <w:sz w:val="26"/>
          <w:szCs w:val="26"/>
        </w:rPr>
        <w:t xml:space="preserve">Les Ateliers de GIENS affichent clairement leur ambition d’être un creuset d’où émergent des propositions concrètes propres à valoriser la recherche et l’innovation, mais aussi à positionner au mieux notre pays dans l’environnement international très compétitif que nous connaissons. </w:t>
      </w:r>
    </w:p>
    <w:p w:rsidR="00F07F93" w:rsidRPr="00F07F93" w:rsidRDefault="00F07F93" w:rsidP="00F07F93">
      <w:pPr>
        <w:rPr>
          <w:rFonts w:asciiTheme="minorHAnsi" w:hAnsiTheme="minorHAnsi" w:cstheme="minorHAnsi"/>
          <w:b w:val="0"/>
          <w:bCs/>
          <w:sz w:val="26"/>
          <w:szCs w:val="26"/>
        </w:rPr>
      </w:pPr>
      <w:r w:rsidRPr="00F07F93">
        <w:rPr>
          <w:rFonts w:asciiTheme="minorHAnsi" w:hAnsiTheme="minorHAnsi" w:cstheme="minorHAnsi"/>
          <w:b w:val="0"/>
          <w:bCs/>
          <w:sz w:val="26"/>
          <w:szCs w:val="26"/>
        </w:rPr>
        <w:t>Les thèmes qui devraient être retenus pour les tables rondes de la 30</w:t>
      </w:r>
      <w:r w:rsidRPr="00F07F93">
        <w:rPr>
          <w:rFonts w:asciiTheme="minorHAnsi" w:hAnsiTheme="minorHAnsi" w:cstheme="minorHAnsi"/>
          <w:b w:val="0"/>
          <w:bCs/>
          <w:sz w:val="26"/>
          <w:szCs w:val="26"/>
          <w:vertAlign w:val="superscript"/>
        </w:rPr>
        <w:t>ème</w:t>
      </w:r>
      <w:r w:rsidRPr="00F07F93">
        <w:rPr>
          <w:rFonts w:asciiTheme="minorHAnsi" w:hAnsiTheme="minorHAnsi" w:cstheme="minorHAnsi"/>
          <w:b w:val="0"/>
          <w:bCs/>
          <w:sz w:val="26"/>
          <w:szCs w:val="26"/>
        </w:rPr>
        <w:t xml:space="preserve"> édition des Ateliers de GIENS, qui se tiendront le 5 et 6 octobre prochain, illustrent bien notre démarche. Ils engageront des réflexions sur : les thérapies ciblées ; l’évaluation non clinique des dispositifs médicaux ; les biosimilaires ; la mise en application du nouveau Règlement européen sur les essais cliniques ; les éléments d’attractivité de notre pays dans le domaine des thérapies innovantes ou encore sur la stratégie française vis-à-vis du programme européen Horizon 2020, qui succède au 7</w:t>
      </w:r>
      <w:r w:rsidRPr="00F07F93">
        <w:rPr>
          <w:rFonts w:asciiTheme="minorHAnsi" w:hAnsiTheme="minorHAnsi" w:cstheme="minorHAnsi"/>
          <w:b w:val="0"/>
          <w:bCs/>
          <w:sz w:val="26"/>
          <w:szCs w:val="26"/>
          <w:vertAlign w:val="superscript"/>
        </w:rPr>
        <w:t>e</w:t>
      </w:r>
      <w:r w:rsidRPr="00F07F93">
        <w:rPr>
          <w:rFonts w:asciiTheme="minorHAnsi" w:hAnsiTheme="minorHAnsi" w:cstheme="minorHAnsi"/>
          <w:b w:val="0"/>
          <w:bCs/>
          <w:sz w:val="26"/>
          <w:szCs w:val="26"/>
        </w:rPr>
        <w:t xml:space="preserve"> programme cadre de recherche et développement technologique (PCRDT) et qui nous engage pour les 7 ans à venir.</w:t>
      </w:r>
    </w:p>
    <w:p w:rsidR="008B2805" w:rsidRDefault="008B2805" w:rsidP="00402EE4">
      <w:pPr>
        <w:ind w:firstLine="567"/>
        <w:jc w:val="both"/>
        <w:rPr>
          <w:rFonts w:ascii="Arial" w:hAnsi="Arial" w:cs="Arial"/>
          <w:b w:val="0"/>
          <w:sz w:val="22"/>
        </w:rPr>
      </w:pPr>
    </w:p>
    <w:p w:rsidR="00167246" w:rsidRDefault="00167246" w:rsidP="001A7564">
      <w:pPr>
        <w:ind w:left="709"/>
        <w:jc w:val="both"/>
        <w:rPr>
          <w:rFonts w:ascii="Arial" w:hAnsi="Arial" w:cs="Arial"/>
          <w:b w:val="0"/>
          <w:sz w:val="22"/>
        </w:rPr>
      </w:pPr>
    </w:p>
    <w:p w:rsidR="00167246" w:rsidRDefault="00167246" w:rsidP="001A7564">
      <w:pPr>
        <w:ind w:left="709"/>
        <w:jc w:val="both"/>
        <w:rPr>
          <w:rFonts w:ascii="Arial" w:hAnsi="Arial" w:cs="Arial"/>
          <w:b w:val="0"/>
          <w:sz w:val="22"/>
        </w:rPr>
      </w:pPr>
    </w:p>
    <w:sectPr w:rsidR="00167246" w:rsidSect="00D25A8B">
      <w:headerReference w:type="default" r:id="rId10"/>
      <w:footerReference w:type="default" r:id="rId11"/>
      <w:pgSz w:w="11906" w:h="16838"/>
      <w:pgMar w:top="426"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E4" w:rsidRDefault="00402EE4">
      <w:r>
        <w:separator/>
      </w:r>
    </w:p>
  </w:endnote>
  <w:endnote w:type="continuationSeparator" w:id="0">
    <w:p w:rsidR="00402EE4" w:rsidRDefault="00402E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Angsana New">
    <w:charset w:val="00"/>
    <w:family w:val="roman"/>
    <w:pitch w:val="variable"/>
    <w:sig w:usb0="81000003" w:usb1="00000000" w:usb2="00000000" w:usb3="00000000" w:csb0="00010001" w:csb1="00000000"/>
  </w:font>
  <w:font w:name="Cordia New">
    <w:charset w:val="00"/>
    <w:family w:val="swiss"/>
    <w:pitch w:val="variable"/>
    <w:sig w:usb0="81000003" w:usb1="00000000" w:usb2="00000000" w:usb3="00000000" w:csb0="0001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E4" w:rsidRPr="00F265B9" w:rsidRDefault="00402EE4">
    <w:pPr>
      <w:pBdr>
        <w:top w:val="single" w:sz="4" w:space="1" w:color="008000"/>
      </w:pBdr>
      <w:jc w:val="center"/>
      <w:rPr>
        <w:rFonts w:ascii="Verdana" w:eastAsia="Arial Unicode MS" w:hAnsi="Verdana"/>
        <w:color w:val="000000"/>
        <w:sz w:val="22"/>
        <w:szCs w:val="24"/>
      </w:rPr>
    </w:pPr>
    <w:r w:rsidRPr="00F265B9">
      <w:rPr>
        <w:rFonts w:ascii="Verdana" w:eastAsia="Arial Unicode MS" w:hAnsi="Verdana"/>
        <w:color w:val="000000"/>
        <w:sz w:val="22"/>
        <w:szCs w:val="24"/>
      </w:rPr>
      <w:t xml:space="preserve"> « Les Ateliers de Giens »</w:t>
    </w:r>
  </w:p>
  <w:p w:rsidR="00402EE4" w:rsidRDefault="00402EE4">
    <w:pPr>
      <w:pStyle w:val="En-tte"/>
      <w:pBdr>
        <w:top w:val="single" w:sz="4" w:space="1" w:color="008000"/>
      </w:pBdr>
      <w:jc w:val="center"/>
      <w:rPr>
        <w:rFonts w:ascii="Verdana" w:hAnsi="Verdana"/>
        <w:color w:val="000000"/>
        <w:sz w:val="18"/>
      </w:rPr>
    </w:pPr>
    <w:r>
      <w:rPr>
        <w:rFonts w:ascii="Verdana" w:eastAsia="Arial Unicode MS" w:hAnsi="Verdana"/>
        <w:i/>
        <w:iCs/>
        <w:color w:val="000000"/>
        <w:sz w:val="18"/>
      </w:rPr>
      <w:t>Association loi 1901</w:t>
    </w:r>
  </w:p>
  <w:p w:rsidR="00402EE4" w:rsidRDefault="00D6289F">
    <w:pPr>
      <w:pStyle w:val="Pieddepage"/>
      <w:jc w:val="center"/>
      <w:rPr>
        <w:rFonts w:ascii="Verdana" w:hAnsi="Verdana"/>
        <w:sz w:val="18"/>
      </w:rPr>
    </w:pPr>
    <w:r>
      <w:rPr>
        <w:rFonts w:ascii="Helvetica" w:hAnsi="Helvetica"/>
        <w:color w:val="000000"/>
      </w:rPr>
      <w:t>Dépt de Pharmacologie Médicale, Faculté de Médecine, 1 place de Verdun 59045 LILLE cedex</w:t>
    </w:r>
    <w:r>
      <w:t xml:space="preserve"> </w:t>
    </w:r>
    <w:hyperlink r:id="rId1" w:history="1">
      <w:r w:rsidR="00402EE4">
        <w:rPr>
          <w:rStyle w:val="Lienhypertexte"/>
          <w:rFonts w:ascii="Verdana" w:hAnsi="Verdana"/>
          <w:sz w:val="18"/>
        </w:rPr>
        <w:t>http://www.ateliersdegiens.org</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E4" w:rsidRDefault="00402EE4">
      <w:r>
        <w:separator/>
      </w:r>
    </w:p>
  </w:footnote>
  <w:footnote w:type="continuationSeparator" w:id="0">
    <w:p w:rsidR="00402EE4" w:rsidRDefault="00402EE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418417"/>
      <w:docPartObj>
        <w:docPartGallery w:val="Page Numbers (Top of Page)"/>
        <w:docPartUnique/>
      </w:docPartObj>
    </w:sdtPr>
    <w:sdtContent>
      <w:p w:rsidR="00F07F93" w:rsidRDefault="0043721D">
        <w:pPr>
          <w:pStyle w:val="En-tte"/>
          <w:jc w:val="right"/>
        </w:pPr>
        <w:fldSimple w:instr="PAGE   \* MERGEFORMAT">
          <w:r w:rsidR="00F357D7">
            <w:rPr>
              <w:noProof/>
            </w:rPr>
            <w:t>2</w:t>
          </w:r>
        </w:fldSimple>
      </w:p>
    </w:sdtContent>
  </w:sdt>
  <w:p w:rsidR="00D6289F" w:rsidRDefault="00D6289F">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26B8"/>
    <w:multiLevelType w:val="hybridMultilevel"/>
    <w:tmpl w:val="368CE19E"/>
    <w:lvl w:ilvl="0" w:tplc="1A0822C4">
      <w:start w:val="7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62117"/>
    <w:rsid w:val="000443C9"/>
    <w:rsid w:val="000A4506"/>
    <w:rsid w:val="00167246"/>
    <w:rsid w:val="001A7564"/>
    <w:rsid w:val="002135D0"/>
    <w:rsid w:val="00216412"/>
    <w:rsid w:val="00221B2B"/>
    <w:rsid w:val="00327C76"/>
    <w:rsid w:val="00350A5E"/>
    <w:rsid w:val="00402EE4"/>
    <w:rsid w:val="0043721D"/>
    <w:rsid w:val="00540453"/>
    <w:rsid w:val="00596368"/>
    <w:rsid w:val="00597ECC"/>
    <w:rsid w:val="005A2A4F"/>
    <w:rsid w:val="005D7EC6"/>
    <w:rsid w:val="005E56E1"/>
    <w:rsid w:val="00657768"/>
    <w:rsid w:val="00685DB9"/>
    <w:rsid w:val="0069649F"/>
    <w:rsid w:val="006A72C2"/>
    <w:rsid w:val="006E533C"/>
    <w:rsid w:val="00736C65"/>
    <w:rsid w:val="00762117"/>
    <w:rsid w:val="007A53C9"/>
    <w:rsid w:val="00847450"/>
    <w:rsid w:val="008A06B2"/>
    <w:rsid w:val="008B2805"/>
    <w:rsid w:val="009701B5"/>
    <w:rsid w:val="009C6510"/>
    <w:rsid w:val="009F04B3"/>
    <w:rsid w:val="00A5452A"/>
    <w:rsid w:val="00B123F5"/>
    <w:rsid w:val="00BB33A0"/>
    <w:rsid w:val="00BD22C2"/>
    <w:rsid w:val="00C27CFA"/>
    <w:rsid w:val="00C650AE"/>
    <w:rsid w:val="00C76062"/>
    <w:rsid w:val="00CC3536"/>
    <w:rsid w:val="00CF5CBB"/>
    <w:rsid w:val="00D25A8B"/>
    <w:rsid w:val="00D4194F"/>
    <w:rsid w:val="00D6289F"/>
    <w:rsid w:val="00E14C79"/>
    <w:rsid w:val="00E208D0"/>
    <w:rsid w:val="00EF58B5"/>
    <w:rsid w:val="00F07F93"/>
    <w:rsid w:val="00F265B9"/>
    <w:rsid w:val="00F357D7"/>
    <w:rsid w:val="00F9585C"/>
    <w:rsid w:val="00FB0443"/>
  </w:rsids>
  <m:mathPr>
    <m:mathFont m:val="Impact"/>
    <m:brkBin m:val="before"/>
    <m:brkBinSub m:val="--"/>
    <m:smallFrac/>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B5"/>
    <w:rPr>
      <w:b/>
      <w:snapToGrid w:val="0"/>
    </w:rPr>
  </w:style>
  <w:style w:type="paragraph" w:styleId="Titre1">
    <w:name w:val="heading 1"/>
    <w:basedOn w:val="Normal"/>
    <w:next w:val="Normal"/>
    <w:qFormat/>
    <w:rsid w:val="009701B5"/>
    <w:pPr>
      <w:keepNext/>
      <w:tabs>
        <w:tab w:val="left" w:pos="4820"/>
      </w:tabs>
      <w:ind w:left="1134"/>
      <w:outlineLvl w:val="0"/>
    </w:pPr>
    <w:rPr>
      <w:b w:val="0"/>
      <w:bCs/>
      <w:sz w:val="24"/>
    </w:rPr>
  </w:style>
  <w:style w:type="paragraph" w:styleId="Titre2">
    <w:name w:val="heading 2"/>
    <w:basedOn w:val="Normal"/>
    <w:next w:val="Normal"/>
    <w:qFormat/>
    <w:rsid w:val="009701B5"/>
    <w:pPr>
      <w:keepNext/>
      <w:tabs>
        <w:tab w:val="left" w:pos="5103"/>
      </w:tabs>
      <w:ind w:left="1134" w:right="-709"/>
      <w:outlineLvl w:val="1"/>
    </w:pPr>
    <w:rPr>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Retraitcorpsdetexte">
    <w:name w:val="Body Text Indent"/>
    <w:basedOn w:val="Normal"/>
    <w:rsid w:val="009701B5"/>
    <w:pPr>
      <w:tabs>
        <w:tab w:val="left" w:pos="4820"/>
      </w:tabs>
      <w:ind w:left="1701"/>
      <w:jc w:val="both"/>
    </w:pPr>
    <w:rPr>
      <w:b w:val="0"/>
      <w:bCs/>
      <w:sz w:val="24"/>
    </w:rPr>
  </w:style>
  <w:style w:type="paragraph" w:styleId="En-tte">
    <w:name w:val="header"/>
    <w:basedOn w:val="Normal"/>
    <w:link w:val="En-tteCar"/>
    <w:uiPriority w:val="99"/>
    <w:rsid w:val="009701B5"/>
    <w:pPr>
      <w:tabs>
        <w:tab w:val="center" w:pos="4536"/>
        <w:tab w:val="right" w:pos="9072"/>
      </w:tabs>
    </w:pPr>
  </w:style>
  <w:style w:type="paragraph" w:styleId="Pieddepage">
    <w:name w:val="footer"/>
    <w:basedOn w:val="Normal"/>
    <w:rsid w:val="009701B5"/>
    <w:pPr>
      <w:tabs>
        <w:tab w:val="center" w:pos="4536"/>
        <w:tab w:val="right" w:pos="9072"/>
      </w:tabs>
    </w:pPr>
  </w:style>
  <w:style w:type="paragraph" w:styleId="Titre">
    <w:name w:val="Title"/>
    <w:basedOn w:val="Normal"/>
    <w:qFormat/>
    <w:rsid w:val="009701B5"/>
    <w:pPr>
      <w:jc w:val="center"/>
    </w:pPr>
    <w:rPr>
      <w:rFonts w:ascii="Verdana" w:eastAsia="Arial Unicode MS" w:hAnsi="Verdana"/>
      <w:bCs/>
      <w:smallCaps/>
      <w:snapToGrid/>
      <w:szCs w:val="24"/>
    </w:rPr>
  </w:style>
  <w:style w:type="character" w:styleId="Lienhypertexte">
    <w:name w:val="Hyperlink"/>
    <w:basedOn w:val="Policepardfaut"/>
    <w:uiPriority w:val="99"/>
    <w:rsid w:val="009701B5"/>
    <w:rPr>
      <w:color w:val="0000FF"/>
      <w:u w:val="single"/>
    </w:rPr>
  </w:style>
  <w:style w:type="paragraph" w:styleId="Textedebulles">
    <w:name w:val="Balloon Text"/>
    <w:basedOn w:val="Normal"/>
    <w:semiHidden/>
    <w:rsid w:val="00BB33A0"/>
    <w:rPr>
      <w:rFonts w:ascii="Tahoma" w:hAnsi="Tahoma"/>
      <w:sz w:val="16"/>
      <w:szCs w:val="16"/>
    </w:rPr>
  </w:style>
  <w:style w:type="paragraph" w:styleId="Paragraphedeliste">
    <w:name w:val="List Paragraph"/>
    <w:basedOn w:val="Normal"/>
    <w:uiPriority w:val="34"/>
    <w:qFormat/>
    <w:rsid w:val="00402EE4"/>
    <w:pPr>
      <w:ind w:left="720"/>
      <w:contextualSpacing/>
    </w:pPr>
  </w:style>
  <w:style w:type="character" w:customStyle="1" w:styleId="En-tteCar">
    <w:name w:val="En-tête Car"/>
    <w:basedOn w:val="Policepardfaut"/>
    <w:link w:val="En-tte"/>
    <w:uiPriority w:val="99"/>
    <w:rsid w:val="00F07F93"/>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B5"/>
    <w:rPr>
      <w:b/>
      <w:snapToGrid w:val="0"/>
    </w:rPr>
  </w:style>
  <w:style w:type="paragraph" w:styleId="Titre1">
    <w:name w:val="heading 1"/>
    <w:basedOn w:val="Normal"/>
    <w:next w:val="Normal"/>
    <w:qFormat/>
    <w:rsid w:val="009701B5"/>
    <w:pPr>
      <w:keepNext/>
      <w:tabs>
        <w:tab w:val="left" w:pos="4820"/>
      </w:tabs>
      <w:ind w:left="1134"/>
      <w:outlineLvl w:val="0"/>
    </w:pPr>
    <w:rPr>
      <w:b w:val="0"/>
      <w:bCs/>
      <w:sz w:val="24"/>
    </w:rPr>
  </w:style>
  <w:style w:type="paragraph" w:styleId="Titre2">
    <w:name w:val="heading 2"/>
    <w:basedOn w:val="Normal"/>
    <w:next w:val="Normal"/>
    <w:qFormat/>
    <w:rsid w:val="009701B5"/>
    <w:pPr>
      <w:keepNext/>
      <w:tabs>
        <w:tab w:val="left" w:pos="5103"/>
      </w:tabs>
      <w:ind w:left="1134" w:right="-709"/>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701B5"/>
    <w:pPr>
      <w:tabs>
        <w:tab w:val="left" w:pos="4820"/>
      </w:tabs>
      <w:ind w:left="1701"/>
      <w:jc w:val="both"/>
    </w:pPr>
    <w:rPr>
      <w:b w:val="0"/>
      <w:bCs/>
      <w:sz w:val="24"/>
    </w:rPr>
  </w:style>
  <w:style w:type="paragraph" w:styleId="En-tte">
    <w:name w:val="header"/>
    <w:basedOn w:val="Normal"/>
    <w:link w:val="En-tteCar"/>
    <w:uiPriority w:val="99"/>
    <w:rsid w:val="009701B5"/>
    <w:pPr>
      <w:tabs>
        <w:tab w:val="center" w:pos="4536"/>
        <w:tab w:val="right" w:pos="9072"/>
      </w:tabs>
    </w:pPr>
  </w:style>
  <w:style w:type="paragraph" w:styleId="Pieddepage">
    <w:name w:val="footer"/>
    <w:basedOn w:val="Normal"/>
    <w:rsid w:val="009701B5"/>
    <w:pPr>
      <w:tabs>
        <w:tab w:val="center" w:pos="4536"/>
        <w:tab w:val="right" w:pos="9072"/>
      </w:tabs>
    </w:pPr>
  </w:style>
  <w:style w:type="paragraph" w:styleId="Titre">
    <w:name w:val="Title"/>
    <w:basedOn w:val="Normal"/>
    <w:qFormat/>
    <w:rsid w:val="009701B5"/>
    <w:pPr>
      <w:jc w:val="center"/>
    </w:pPr>
    <w:rPr>
      <w:rFonts w:ascii="Verdana" w:eastAsia="Arial Unicode MS" w:hAnsi="Verdana"/>
      <w:bCs/>
      <w:smallCaps/>
      <w:snapToGrid/>
      <w:szCs w:val="24"/>
    </w:rPr>
  </w:style>
  <w:style w:type="character" w:styleId="Lienhypertexte">
    <w:name w:val="Hyperlink"/>
    <w:basedOn w:val="Policepardfaut"/>
    <w:uiPriority w:val="99"/>
    <w:rsid w:val="009701B5"/>
    <w:rPr>
      <w:color w:val="0000FF"/>
      <w:u w:val="single"/>
    </w:rPr>
  </w:style>
  <w:style w:type="paragraph" w:styleId="Textedebulles">
    <w:name w:val="Balloon Text"/>
    <w:basedOn w:val="Normal"/>
    <w:semiHidden/>
    <w:rsid w:val="00BB33A0"/>
    <w:rPr>
      <w:rFonts w:ascii="Tahoma" w:hAnsi="Tahoma"/>
      <w:sz w:val="16"/>
      <w:szCs w:val="16"/>
    </w:rPr>
  </w:style>
  <w:style w:type="paragraph" w:styleId="Paragraphedeliste">
    <w:name w:val="List Paragraph"/>
    <w:basedOn w:val="Normal"/>
    <w:uiPriority w:val="34"/>
    <w:qFormat/>
    <w:rsid w:val="00402EE4"/>
    <w:pPr>
      <w:ind w:left="720"/>
      <w:contextualSpacing/>
    </w:pPr>
  </w:style>
  <w:style w:type="character" w:customStyle="1" w:styleId="En-tteCar">
    <w:name w:val="En-tête Car"/>
    <w:basedOn w:val="Policepardfaut"/>
    <w:link w:val="En-tte"/>
    <w:uiPriority w:val="99"/>
    <w:rsid w:val="00F07F93"/>
    <w:rPr>
      <w:b/>
      <w:snapToGrid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cid:BA6CDB06-9A67-4367-98D9-49A1E863A111@home" TargetMode="External"/><Relationship Id="rId9" Type="http://schemas.openxmlformats.org/officeDocument/2006/relationships/hyperlink" Target="http://www.ateliersdegien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teliersdegien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Macintosh Word</Application>
  <DocSecurity>0</DocSecurity>
  <Lines>27</Lines>
  <Paragraphs>6</Paragraphs>
  <ScaleCrop>false</ScaleCrop>
  <HeadingPairs>
    <vt:vector size="2" baseType="variant">
      <vt:variant>
        <vt:lpstr>Titre</vt:lpstr>
      </vt:variant>
      <vt:variant>
        <vt:i4>1</vt:i4>
      </vt:variant>
    </vt:vector>
  </HeadingPairs>
  <TitlesOfParts>
    <vt:vector size="1" baseType="lpstr">
      <vt:lpstr/>
    </vt:vector>
  </TitlesOfParts>
  <Company>CHU de NANTES</Company>
  <LinksUpToDate>false</LinksUpToDate>
  <CharactersWithSpaces>4020</CharactersWithSpaces>
  <SharedDoc>false</SharedDoc>
  <HLinks>
    <vt:vector size="6" baseType="variant">
      <vt:variant>
        <vt:i4>2687072</vt:i4>
      </vt:variant>
      <vt:variant>
        <vt:i4>0</vt:i4>
      </vt:variant>
      <vt:variant>
        <vt:i4>0</vt:i4>
      </vt:variant>
      <vt:variant>
        <vt:i4>5</vt:i4>
      </vt:variant>
      <vt:variant>
        <vt:lpwstr>http://www.ateliersdegiens.org/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Pjolliet</dc:creator>
  <cp:lastModifiedBy>Véronique Lamarque-Garnier</cp:lastModifiedBy>
  <cp:revision>2</cp:revision>
  <cp:lastPrinted>2014-03-27T09:02:00Z</cp:lastPrinted>
  <dcterms:created xsi:type="dcterms:W3CDTF">2014-03-30T14:16:00Z</dcterms:created>
  <dcterms:modified xsi:type="dcterms:W3CDTF">2014-03-30T14:16:00Z</dcterms:modified>
</cp:coreProperties>
</file>